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9AD367" w14:textId="494FE13D" w:rsidR="00062C40" w:rsidRPr="000050C7" w:rsidRDefault="00831E6A" w:rsidP="00EB2231">
      <w:pPr>
        <w:pStyle w:val="Zkladntext"/>
        <w:jc w:val="both"/>
        <w:rPr>
          <w:b/>
          <w:color w:val="000000"/>
        </w:rPr>
      </w:pPr>
      <w:r>
        <w:rPr>
          <w:b/>
        </w:rPr>
        <w:t>ZM</w:t>
      </w:r>
      <w:r w:rsidR="00745C98" w:rsidRPr="000050C7">
        <w:rPr>
          <w:b/>
        </w:rPr>
        <w:t>_</w:t>
      </w:r>
      <w:r>
        <w:rPr>
          <w:b/>
        </w:rPr>
        <w:t>XXI</w:t>
      </w:r>
      <w:r w:rsidR="0035703E" w:rsidRPr="000050C7">
        <w:rPr>
          <w:b/>
        </w:rPr>
        <w:t>_</w:t>
      </w:r>
      <w:r>
        <w:rPr>
          <w:b/>
        </w:rPr>
        <w:t>3</w:t>
      </w:r>
      <w:r w:rsidR="00211B93" w:rsidRPr="000050C7">
        <w:rPr>
          <w:b/>
        </w:rPr>
        <w:t>_</w:t>
      </w:r>
      <w:r w:rsidR="00823189">
        <w:rPr>
          <w:b/>
          <w:bCs/>
          <w:iCs/>
        </w:rPr>
        <w:t>Dohoda o narovnání_</w:t>
      </w:r>
      <w:r>
        <w:rPr>
          <w:b/>
          <w:color w:val="000000"/>
        </w:rPr>
        <w:t>08</w:t>
      </w:r>
      <w:r w:rsidR="00823189">
        <w:rPr>
          <w:b/>
          <w:color w:val="000000"/>
        </w:rPr>
        <w:t>.1</w:t>
      </w:r>
      <w:r>
        <w:rPr>
          <w:b/>
          <w:color w:val="000000"/>
        </w:rPr>
        <w:t>2</w:t>
      </w:r>
      <w:r w:rsidR="00AB6C8E" w:rsidRPr="000050C7">
        <w:rPr>
          <w:b/>
          <w:color w:val="000000"/>
        </w:rPr>
        <w:t>.2025</w:t>
      </w:r>
    </w:p>
    <w:p w14:paraId="42ACD150" w14:textId="77777777" w:rsidR="0069581E" w:rsidRPr="00D11A39" w:rsidRDefault="00301B4B" w:rsidP="00D11A39">
      <w:pPr>
        <w:pStyle w:val="Zkladntext"/>
        <w:rPr>
          <w:rFonts w:ascii="Arial" w:hAnsi="Arial" w:cs="Arial"/>
          <w:b/>
          <w:i/>
          <w:color w:val="000000"/>
          <w:u w:val="single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6543E21F" wp14:editId="7846A9CE">
            <wp:simplePos x="0" y="0"/>
            <wp:positionH relativeFrom="column">
              <wp:posOffset>4991100</wp:posOffset>
            </wp:positionH>
            <wp:positionV relativeFrom="paragraph">
              <wp:posOffset>29845</wp:posOffset>
            </wp:positionV>
            <wp:extent cx="547370" cy="648970"/>
            <wp:effectExtent l="0" t="0" r="0" b="0"/>
            <wp:wrapNone/>
            <wp:docPr id="2" name="obrázek 2" descr="znak_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A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48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E6BB0F" w14:textId="1880C63E" w:rsidR="000508C1" w:rsidRDefault="000508C1" w:rsidP="000508C1">
      <w:pPr>
        <w:ind w:left="1416" w:firstLine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</w:t>
      </w:r>
      <w:r w:rsidR="00831E6A">
        <w:rPr>
          <w:b/>
          <w:sz w:val="28"/>
          <w:szCs w:val="28"/>
          <w:u w:val="single"/>
        </w:rPr>
        <w:t>Zastupitelstvo</w:t>
      </w:r>
      <w:r w:rsidR="00831E6A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města Kyjova  </w:t>
      </w:r>
    </w:p>
    <w:p w14:paraId="00A315DB" w14:textId="77777777" w:rsidR="00636CFA" w:rsidRPr="0069581E" w:rsidRDefault="0069581E" w:rsidP="007F088B">
      <w:pPr>
        <w:spacing w:line="360" w:lineRule="auto"/>
      </w:pPr>
      <w:r w:rsidRPr="0069581E">
        <w:tab/>
      </w:r>
      <w:r w:rsidRPr="0069581E">
        <w:tab/>
      </w:r>
      <w:r w:rsidRPr="0069581E">
        <w:tab/>
      </w:r>
      <w:r w:rsidR="00966ED1">
        <w:t xml:space="preserve">         </w:t>
      </w:r>
    </w:p>
    <w:p w14:paraId="0B8A1926" w14:textId="77777777" w:rsidR="002E4F85" w:rsidRDefault="002E4F85" w:rsidP="00A078E5">
      <w:pPr>
        <w:spacing w:after="120"/>
        <w:ind w:left="2126" w:hanging="2126"/>
        <w:jc w:val="both"/>
        <w:rPr>
          <w:b/>
          <w:u w:val="single"/>
        </w:rPr>
      </w:pPr>
    </w:p>
    <w:p w14:paraId="4BF38F30" w14:textId="77777777" w:rsidR="004D6B1E" w:rsidRDefault="000508C1" w:rsidP="00F8687E">
      <w:pPr>
        <w:spacing w:after="120"/>
        <w:ind w:left="2126" w:hanging="2126"/>
        <w:jc w:val="both"/>
        <w:rPr>
          <w:b/>
          <w:bCs/>
          <w:iCs/>
        </w:rPr>
      </w:pPr>
      <w:r>
        <w:rPr>
          <w:b/>
          <w:u w:val="single"/>
        </w:rPr>
        <w:t>Předmět jednání:</w:t>
      </w:r>
      <w:r>
        <w:t xml:space="preserve"> </w:t>
      </w:r>
      <w:r w:rsidR="00F8687E">
        <w:tab/>
      </w:r>
      <w:r w:rsidR="00823189">
        <w:rPr>
          <w:bCs/>
          <w:iCs/>
        </w:rPr>
        <w:t>Dohoda o narovnání</w:t>
      </w:r>
    </w:p>
    <w:p w14:paraId="59C8F53F" w14:textId="77777777" w:rsidR="00F8687E" w:rsidRDefault="00F8687E" w:rsidP="00F8687E">
      <w:pPr>
        <w:spacing w:after="120"/>
        <w:ind w:left="2126" w:hanging="2126"/>
        <w:jc w:val="both"/>
        <w:rPr>
          <w:b/>
          <w:u w:val="single"/>
        </w:rPr>
      </w:pPr>
    </w:p>
    <w:p w14:paraId="0D755B17" w14:textId="1F41ED46" w:rsidR="001E06FE" w:rsidRDefault="000508C1" w:rsidP="00951E53">
      <w:pPr>
        <w:spacing w:after="120"/>
        <w:ind w:left="2124" w:hanging="2124"/>
        <w:jc w:val="both"/>
      </w:pPr>
      <w:r>
        <w:rPr>
          <w:b/>
          <w:u w:val="single"/>
        </w:rPr>
        <w:t>Předkladatel:</w:t>
      </w:r>
      <w:r>
        <w:t xml:space="preserve"> </w:t>
      </w:r>
      <w:r>
        <w:tab/>
      </w:r>
      <w:r w:rsidR="00831E6A">
        <w:t>Rada města Kyjova</w:t>
      </w:r>
    </w:p>
    <w:p w14:paraId="6A3435BA" w14:textId="77777777" w:rsidR="000508C1" w:rsidRPr="00F2621D" w:rsidRDefault="00F2621D" w:rsidP="00951E53">
      <w:pPr>
        <w:spacing w:after="120"/>
        <w:ind w:left="2124" w:hanging="2124"/>
        <w:jc w:val="both"/>
      </w:pPr>
      <w:r>
        <w:tab/>
      </w:r>
    </w:p>
    <w:p w14:paraId="6FFE1F7F" w14:textId="77777777" w:rsidR="004475F8" w:rsidRPr="004475F8" w:rsidRDefault="000508C1" w:rsidP="0069581E">
      <w:pPr>
        <w:spacing w:after="120"/>
      </w:pPr>
      <w:r>
        <w:rPr>
          <w:b/>
          <w:u w:val="single"/>
        </w:rPr>
        <w:t>Zpracovatel:</w:t>
      </w:r>
      <w:r w:rsidR="0069581E">
        <w:tab/>
      </w:r>
      <w:r w:rsidR="0069581E">
        <w:tab/>
      </w:r>
      <w:r w:rsidR="00F25C25">
        <w:t>Mgr.</w:t>
      </w:r>
      <w:r w:rsidR="00EF7810">
        <w:t xml:space="preserve"> </w:t>
      </w:r>
      <w:r w:rsidR="00EC7315">
        <w:t>Eva Fialíková</w:t>
      </w:r>
      <w:r w:rsidR="0019549E">
        <w:t xml:space="preserve">, </w:t>
      </w:r>
      <w:r w:rsidR="00E5321C">
        <w:t xml:space="preserve">Mgr. Hana Margetíková, </w:t>
      </w:r>
      <w:r w:rsidR="0019549E">
        <w:t xml:space="preserve">odbor </w:t>
      </w:r>
      <w:r w:rsidR="00CD588A">
        <w:t>majetko</w:t>
      </w:r>
      <w:r w:rsidR="0019549E">
        <w:t>právní</w:t>
      </w:r>
    </w:p>
    <w:p w14:paraId="030B3FCE" w14:textId="77777777" w:rsidR="000508C1" w:rsidRDefault="000508C1" w:rsidP="00951E53">
      <w:pPr>
        <w:spacing w:after="120"/>
        <w:rPr>
          <w:b/>
          <w:u w:val="single"/>
        </w:rPr>
      </w:pPr>
    </w:p>
    <w:p w14:paraId="619B6E44" w14:textId="727FE103" w:rsidR="000508C1" w:rsidRDefault="000508C1" w:rsidP="00951E53">
      <w:pPr>
        <w:spacing w:after="120"/>
      </w:pPr>
      <w:r>
        <w:rPr>
          <w:b/>
          <w:u w:val="single"/>
        </w:rPr>
        <w:t>Zpracováno dne:</w:t>
      </w:r>
      <w:r>
        <w:tab/>
      </w:r>
      <w:proofErr w:type="gramStart"/>
      <w:r w:rsidR="00831E6A">
        <w:t>28</w:t>
      </w:r>
      <w:r w:rsidR="00E5321C">
        <w:t>.11</w:t>
      </w:r>
      <w:r w:rsidR="00AB6C8E">
        <w:t>.2025</w:t>
      </w:r>
      <w:proofErr w:type="gramEnd"/>
    </w:p>
    <w:p w14:paraId="22E21BE5" w14:textId="77777777" w:rsidR="00BA7D00" w:rsidRDefault="00BA7D00" w:rsidP="00BA7D00">
      <w:pPr>
        <w:spacing w:before="120"/>
        <w:ind w:left="2126" w:hanging="2126"/>
        <w:jc w:val="both"/>
        <w:rPr>
          <w:b/>
          <w:u w:val="single"/>
        </w:rPr>
      </w:pPr>
    </w:p>
    <w:p w14:paraId="5754EDF7" w14:textId="77777777" w:rsidR="000508C1" w:rsidRDefault="000508C1" w:rsidP="00BA7D00">
      <w:pPr>
        <w:spacing w:before="120"/>
        <w:ind w:left="2126" w:hanging="2126"/>
        <w:jc w:val="both"/>
      </w:pPr>
      <w:r>
        <w:rPr>
          <w:b/>
          <w:u w:val="single"/>
        </w:rPr>
        <w:t>Návrh usnesení:</w:t>
      </w:r>
      <w:r>
        <w:tab/>
      </w:r>
    </w:p>
    <w:p w14:paraId="703A0B66" w14:textId="77777777" w:rsidR="00402B6B" w:rsidRDefault="00402B6B" w:rsidP="00402B6B">
      <w:pPr>
        <w:jc w:val="both"/>
        <w:rPr>
          <w:i/>
        </w:rPr>
      </w:pPr>
    </w:p>
    <w:p w14:paraId="4FC5ED1C" w14:textId="159AFE4E" w:rsidR="00FC6534" w:rsidRPr="00DF369E" w:rsidRDefault="009C25E1" w:rsidP="00DF369E">
      <w:pPr>
        <w:tabs>
          <w:tab w:val="left" w:pos="1276"/>
          <w:tab w:val="left" w:pos="2160"/>
        </w:tabs>
        <w:spacing w:line="276" w:lineRule="auto"/>
        <w:jc w:val="both"/>
        <w:rPr>
          <w:bCs/>
          <w:i/>
        </w:rPr>
      </w:pPr>
      <w:r w:rsidRPr="00D43303">
        <w:rPr>
          <w:i/>
        </w:rPr>
        <w:t xml:space="preserve">Zastupitelstvo města Kyjova po projednání a v souladu s ustanovením § 84 odst. 4 </w:t>
      </w:r>
      <w:r w:rsidRPr="00DF369E">
        <w:rPr>
          <w:i/>
        </w:rPr>
        <w:t>zákona č. 128/2000 Sb., o obcích (obecní zřízení), ve znění pozdějších předpisů, si vyhradilo pravomoc rozhodovat a rozhodlo</w:t>
      </w:r>
      <w:r w:rsidR="00454EFE" w:rsidRPr="00DF369E">
        <w:rPr>
          <w:i/>
        </w:rPr>
        <w:t xml:space="preserve"> o</w:t>
      </w:r>
      <w:r w:rsidR="00F8687E" w:rsidRPr="00DF369E">
        <w:rPr>
          <w:i/>
        </w:rPr>
        <w:t xml:space="preserve"> uzavření </w:t>
      </w:r>
      <w:r w:rsidR="00E5321C" w:rsidRPr="00DF369E">
        <w:rPr>
          <w:i/>
        </w:rPr>
        <w:t xml:space="preserve">Dohody o narovnání </w:t>
      </w:r>
      <w:r w:rsidR="00D359F6" w:rsidRPr="00DF369E">
        <w:rPr>
          <w:i/>
        </w:rPr>
        <w:t xml:space="preserve">mezi městem Kyjovem, IČO 00285030, </w:t>
      </w:r>
      <w:r w:rsidR="00F8687E" w:rsidRPr="00DF369E">
        <w:rPr>
          <w:i/>
        </w:rPr>
        <w:t xml:space="preserve">společností </w:t>
      </w:r>
      <w:r w:rsidR="00E5321C" w:rsidRPr="00DF369E">
        <w:rPr>
          <w:i/>
        </w:rPr>
        <w:t xml:space="preserve">MT </w:t>
      </w:r>
      <w:proofErr w:type="spellStart"/>
      <w:r w:rsidR="00E5321C" w:rsidRPr="00DF369E">
        <w:rPr>
          <w:i/>
        </w:rPr>
        <w:t>Legal</w:t>
      </w:r>
      <w:proofErr w:type="spellEnd"/>
      <w:r w:rsidR="00E5321C" w:rsidRPr="00DF369E">
        <w:rPr>
          <w:i/>
        </w:rPr>
        <w:t xml:space="preserve"> s.r.o., advokátní kancelář, IČO 28305043, Jana Babáka 2733/11, Královo Pole, 612 00 Brno</w:t>
      </w:r>
      <w:r w:rsidR="00D43303" w:rsidRPr="00DF369E">
        <w:rPr>
          <w:i/>
        </w:rPr>
        <w:t xml:space="preserve"> a poradci </w:t>
      </w:r>
      <w:proofErr w:type="spellStart"/>
      <w:r w:rsidR="00D43303" w:rsidRPr="00DF369E">
        <w:rPr>
          <w:i/>
        </w:rPr>
        <w:t>Relaxsolution</w:t>
      </w:r>
      <w:proofErr w:type="spellEnd"/>
      <w:r w:rsidR="00D43303" w:rsidRPr="00DF369E">
        <w:rPr>
          <w:i/>
        </w:rPr>
        <w:t xml:space="preserve"> s.r.o., IČO 04556224, Komořanská 2065/9, 143 00 Praha 4; SENAA architekti s.r.o., IČO 04024176, Merhautova 950/72, Černá Pole, 613 00 Brno; PaedDr. Zojou Šťastnou, IČO 12683701, Černá cesta 138/6, Klášterní Hradisko, 77900 Olomouc a MT </w:t>
      </w:r>
      <w:proofErr w:type="spellStart"/>
      <w:r w:rsidR="00D43303" w:rsidRPr="00DF369E">
        <w:rPr>
          <w:i/>
        </w:rPr>
        <w:t>Legal</w:t>
      </w:r>
      <w:proofErr w:type="spellEnd"/>
      <w:r w:rsidR="00D43303" w:rsidRPr="00DF369E">
        <w:rPr>
          <w:i/>
        </w:rPr>
        <w:t xml:space="preserve"> s.r.o., advokátní kancelář, IČO </w:t>
      </w:r>
      <w:r w:rsidR="00D43303" w:rsidRPr="00DF369E">
        <w:rPr>
          <w:bCs/>
          <w:i/>
        </w:rPr>
        <w:t>28305043, Jana Babáka 2733/11, Královo Pole, 612 00 Brno</w:t>
      </w:r>
      <w:r w:rsidR="00D359F6" w:rsidRPr="00DF369E">
        <w:rPr>
          <w:i/>
        </w:rPr>
        <w:t>.</w:t>
      </w:r>
      <w:r w:rsidR="00F8687E" w:rsidRPr="00DF369E">
        <w:rPr>
          <w:i/>
        </w:rPr>
        <w:t xml:space="preserve"> Předmětem </w:t>
      </w:r>
      <w:r w:rsidR="00E5321C" w:rsidRPr="00DF369E">
        <w:rPr>
          <w:i/>
        </w:rPr>
        <w:t xml:space="preserve">dohody o narovnání je prohlášení </w:t>
      </w:r>
      <w:r w:rsidR="00FC6534" w:rsidRPr="00DF369E">
        <w:rPr>
          <w:i/>
        </w:rPr>
        <w:t>stran, že město</w:t>
      </w:r>
      <w:r w:rsidR="00E5321C" w:rsidRPr="00DF369E">
        <w:rPr>
          <w:i/>
        </w:rPr>
        <w:t xml:space="preserve"> Ky</w:t>
      </w:r>
      <w:r w:rsidR="00FC6534" w:rsidRPr="00DF369E">
        <w:rPr>
          <w:i/>
        </w:rPr>
        <w:t>jov</w:t>
      </w:r>
      <w:r w:rsidR="00E5321C" w:rsidRPr="00DF369E">
        <w:rPr>
          <w:i/>
        </w:rPr>
        <w:t xml:space="preserve"> po společnosti MT </w:t>
      </w:r>
      <w:proofErr w:type="spellStart"/>
      <w:r w:rsidR="00E5321C" w:rsidRPr="00DF369E">
        <w:rPr>
          <w:i/>
        </w:rPr>
        <w:t>Legal</w:t>
      </w:r>
      <w:proofErr w:type="spellEnd"/>
      <w:r w:rsidR="00E5321C" w:rsidRPr="00DF369E">
        <w:rPr>
          <w:i/>
        </w:rPr>
        <w:t xml:space="preserve"> s.r.o.</w:t>
      </w:r>
      <w:r w:rsidR="00D43303">
        <w:rPr>
          <w:i/>
        </w:rPr>
        <w:t xml:space="preserve"> ani poradcích</w:t>
      </w:r>
      <w:r w:rsidR="00E5321C" w:rsidRPr="00DF369E">
        <w:rPr>
          <w:i/>
        </w:rPr>
        <w:t xml:space="preserve"> nebude uplatňovat případný nárok na náhradu škody</w:t>
      </w:r>
      <w:r w:rsidR="00FC6534" w:rsidRPr="00DF369E">
        <w:rPr>
          <w:i/>
        </w:rPr>
        <w:t xml:space="preserve"> spočívající v uhrazení pokuty udělené městu Kyjov Úřadem pro ochranu hospodářské soutěže ve výši 500.000 Kč a strany dohody považují veškeré závazky související přímo či nepřímo </w:t>
      </w:r>
      <w:r w:rsidR="00F06885" w:rsidRPr="00DF369E">
        <w:rPr>
          <w:i/>
        </w:rPr>
        <w:t>s</w:t>
      </w:r>
      <w:r w:rsidR="00FC6534" w:rsidRPr="00DF369E">
        <w:rPr>
          <w:i/>
        </w:rPr>
        <w:t xml:space="preserve">e zadávacím řízením </w:t>
      </w:r>
      <w:r w:rsidR="00F06885" w:rsidRPr="00DF369E">
        <w:rPr>
          <w:i/>
        </w:rPr>
        <w:t>na Modernizaci stávajícího m</w:t>
      </w:r>
      <w:r w:rsidR="008E7CAF" w:rsidRPr="00DF369E">
        <w:rPr>
          <w:i/>
        </w:rPr>
        <w:t>ěstského koupaliště a novostavbu</w:t>
      </w:r>
      <w:r w:rsidR="00F06885" w:rsidRPr="00DF369E">
        <w:rPr>
          <w:i/>
        </w:rPr>
        <w:t xml:space="preserve"> krytého plaveckého bazénu - Kyjov</w:t>
      </w:r>
      <w:r w:rsidR="00FC6534" w:rsidRPr="00DF369E">
        <w:rPr>
          <w:i/>
        </w:rPr>
        <w:t xml:space="preserve"> za vypořádané.</w:t>
      </w:r>
    </w:p>
    <w:p w14:paraId="772634E5" w14:textId="77777777" w:rsidR="008D5FDB" w:rsidRDefault="008D5FDB" w:rsidP="00402B6B">
      <w:pPr>
        <w:jc w:val="both"/>
        <w:rPr>
          <w:i/>
        </w:rPr>
      </w:pPr>
    </w:p>
    <w:p w14:paraId="0FC81A59" w14:textId="77777777" w:rsidR="000508C1" w:rsidRPr="00321EA9" w:rsidRDefault="000508C1" w:rsidP="00321EA9">
      <w:pPr>
        <w:spacing w:after="120"/>
        <w:jc w:val="both"/>
        <w:rPr>
          <w:b/>
          <w:u w:val="single"/>
        </w:rPr>
      </w:pPr>
      <w:r w:rsidRPr="00321EA9">
        <w:rPr>
          <w:b/>
          <w:u w:val="single"/>
        </w:rPr>
        <w:t xml:space="preserve">Důvodová zpráva: </w:t>
      </w:r>
    </w:p>
    <w:p w14:paraId="0AA78434" w14:textId="65EBF247" w:rsidR="00EB497F" w:rsidRDefault="00EB497F" w:rsidP="00EB497F">
      <w:pPr>
        <w:autoSpaceDE w:val="0"/>
        <w:autoSpaceDN w:val="0"/>
        <w:adjustRightInd w:val="0"/>
        <w:spacing w:after="120"/>
        <w:jc w:val="both"/>
      </w:pPr>
      <w:r>
        <w:t xml:space="preserve">Město Kyjov, jako příkazce, uzavřelo s advokátní kanceláří MT </w:t>
      </w:r>
      <w:proofErr w:type="spellStart"/>
      <w:r>
        <w:t>Legal</w:t>
      </w:r>
      <w:proofErr w:type="spellEnd"/>
      <w:r>
        <w:t xml:space="preserve"> s.r.o., jako příkazníkem, Smlouvu o příkazu na zajištění organizace zadání veřejné zakázky na stavební práce s názvem </w:t>
      </w:r>
      <w:r>
        <w:rPr>
          <w:bCs/>
        </w:rPr>
        <w:t xml:space="preserve">„Modernizace stávajícího městského koupaliště a novostavba krytého plaveckého bazénu - Kyjov" (dále jen „veřejná zakázka“) </w:t>
      </w:r>
      <w:r>
        <w:t xml:space="preserve">ze dne 27. 9. 2019 (dále jen „příkazní smlouva“). A následně, jako klient, Smlouvu o poskytování právních služeb na uvedenou veřejnou zakázku ze dne 14. 3. 2022 (dále jen „smlouva na právní služby“). </w:t>
      </w:r>
    </w:p>
    <w:p w14:paraId="27BA88C1" w14:textId="403135EE" w:rsidR="00831E6A" w:rsidRPr="00C06178" w:rsidRDefault="00831E6A" w:rsidP="00EB497F">
      <w:pPr>
        <w:autoSpaceDE w:val="0"/>
        <w:autoSpaceDN w:val="0"/>
        <w:adjustRightInd w:val="0"/>
        <w:spacing w:after="120"/>
        <w:jc w:val="both"/>
        <w:rPr>
          <w:szCs w:val="20"/>
        </w:rPr>
      </w:pPr>
      <w:r w:rsidRPr="00C06178">
        <w:t>Zároveň město Kyjov uzavřelo Smlouvy o zajištění odborné poradenské činnosti s</w:t>
      </w:r>
      <w:r w:rsidR="00C06178">
        <w:t>e společnostmi</w:t>
      </w:r>
      <w:r w:rsidRPr="00C06178">
        <w:t xml:space="preserve"> </w:t>
      </w:r>
      <w:proofErr w:type="spellStart"/>
      <w:r w:rsidRPr="00C06178">
        <w:t>Relaxsolution</w:t>
      </w:r>
      <w:proofErr w:type="spellEnd"/>
      <w:r w:rsidRPr="00C06178">
        <w:t xml:space="preserve"> s.r.o., IČO 04556224, Komořanská 2065/9, 143 00 Praha 4; SENAA architekti s.r.o., IČO 04024176, Merhautova 950/72, Černá Pole, 613 00 Brno</w:t>
      </w:r>
      <w:r>
        <w:t xml:space="preserve"> a </w:t>
      </w:r>
      <w:r w:rsidRPr="00C06178">
        <w:t>PaedDr. Zojou Šťastnou, IČO 12683701, Černá cesta 138/6, Klášterní Hradisko, 77900 Olomouc</w:t>
      </w:r>
      <w:r w:rsidR="00C06178">
        <w:t>, jejichž předmětem bylo provádění konzultační a poradenské činnosti v rámci realizace akce s názvem „Modernizace stávajícího městského koupaliště a novostavba krytého plaveckého bazénu Kyjov“</w:t>
      </w:r>
      <w:r w:rsidRPr="00C06178">
        <w:rPr>
          <w:bCs/>
        </w:rPr>
        <w:t>.</w:t>
      </w:r>
    </w:p>
    <w:p w14:paraId="57877763" w14:textId="77777777" w:rsidR="00EB497F" w:rsidRDefault="00EB497F" w:rsidP="00EB497F">
      <w:pPr>
        <w:spacing w:after="120"/>
        <w:jc w:val="both"/>
      </w:pPr>
      <w:r>
        <w:t xml:space="preserve">Město Kyjov, jako zadavatel veřejné zakázky, jejíž organizaci zajišťovala advokátní kancelář MT </w:t>
      </w:r>
      <w:proofErr w:type="spellStart"/>
      <w:r>
        <w:t>Legal</w:t>
      </w:r>
      <w:proofErr w:type="spellEnd"/>
      <w:r>
        <w:t xml:space="preserve"> s.r.o., obdrželo v zadávacím řízení 5 nabídek. Mezi nimi i nabídku dodavatele GEOSAN GROUP a.s., IČ 28169522 (dále jen „</w:t>
      </w:r>
      <w:proofErr w:type="spellStart"/>
      <w:r>
        <w:t>Geosan</w:t>
      </w:r>
      <w:proofErr w:type="spellEnd"/>
      <w:r>
        <w:t xml:space="preserve"> Group“) a společníků společnosti „Společnost Metrostav – DIZ Bazén Kyjov“ Metrostav a.s., IČ 00014915 (dále jen „vybraný dodavatel“). </w:t>
      </w:r>
    </w:p>
    <w:p w14:paraId="02FBE929" w14:textId="77777777" w:rsidR="00EB497F" w:rsidRDefault="00EB497F" w:rsidP="00EB497F">
      <w:pPr>
        <w:spacing w:after="120"/>
        <w:jc w:val="both"/>
      </w:pPr>
      <w:r>
        <w:lastRenderedPageBreak/>
        <w:t xml:space="preserve">Nabídky obou zmíněných dodavatelů byly v části týkající se způsobu řešení dojezdu tobogánu ve vnitřní části identické. U dodavatele </w:t>
      </w:r>
      <w:proofErr w:type="spellStart"/>
      <w:r>
        <w:t>Geosan</w:t>
      </w:r>
      <w:proofErr w:type="spellEnd"/>
      <w:r>
        <w:t xml:space="preserve"> Group byl identifikován rozpor mezi textovou a grafickou částí nabídky. U vybraného dodavatele tento rozpor shledán nebyl. Následně došlo mj. k vyloučení dodavatele </w:t>
      </w:r>
      <w:proofErr w:type="spellStart"/>
      <w:r>
        <w:t>Geosan</w:t>
      </w:r>
      <w:proofErr w:type="spellEnd"/>
      <w:r>
        <w:t xml:space="preserve"> Group ze zadávacího řízení. A uzavření smlouvy o dílo na realizaci veřejné zakázky s vybraným dodavatelem. </w:t>
      </w:r>
    </w:p>
    <w:p w14:paraId="152C755B" w14:textId="77777777" w:rsidR="00EB497F" w:rsidRDefault="00EB497F" w:rsidP="00EB497F">
      <w:pPr>
        <w:spacing w:after="120"/>
        <w:jc w:val="both"/>
      </w:pPr>
      <w:r>
        <w:t xml:space="preserve">Na základě vyloučení dodavatele </w:t>
      </w:r>
      <w:proofErr w:type="spellStart"/>
      <w:r>
        <w:t>Geosan</w:t>
      </w:r>
      <w:proofErr w:type="spellEnd"/>
      <w:r>
        <w:t xml:space="preserve"> Group, tento podal podnět k přezkoumání úkonů zadavatele učiněných při zadávání veřejné zakázky Úřadu pro ochranu hospodářské soutěže (dále jen „ÚOHS“). </w:t>
      </w:r>
    </w:p>
    <w:p w14:paraId="659EE506" w14:textId="77777777" w:rsidR="00EB497F" w:rsidRDefault="00EB497F" w:rsidP="00EB497F">
      <w:pPr>
        <w:spacing w:after="120"/>
        <w:jc w:val="both"/>
      </w:pPr>
      <w:r>
        <w:t>Po proběhnuvším správním řízení vydal předseda ÚOHS Rozhodnutí čj. ÚOHS-45129/2022/161 ze dne 19. 12. 2022, kterým potvrdil Rozhodnutí ÚOHS čj. ÚOHS-34889/2022/500 ze dne 6. 10. 2022. Tím bylo rozhodnuto, že se zadavatel dopustil přestupku dle § 268 odst. 1 písm. a) zákona č. 134/2016 Sb., o zadávání veřejných zakázek, a to tím, že při zadávání veřejné zakázky nedodržel zásadu rovného zacházení stran dodavatelů uvedených výše. Za spáchání přestupku uložil pokutu ve výši 500.000,- Kč a povinnost uhradit náklady řízení ve výši 1.000,- Kč. Tato pokuta včetně nákladů řízení byla městem Kyjov uhrazena.</w:t>
      </w:r>
    </w:p>
    <w:p w14:paraId="1BC4F42B" w14:textId="77777777" w:rsidR="00EB497F" w:rsidRDefault="00EB497F" w:rsidP="00EB497F">
      <w:pPr>
        <w:spacing w:after="120"/>
        <w:jc w:val="both"/>
        <w:rPr>
          <w:rFonts w:eastAsiaTheme="minorHAnsi"/>
          <w:bCs/>
          <w:lang w:eastAsia="en-US"/>
        </w:rPr>
      </w:pPr>
      <w:r w:rsidRPr="004009B4">
        <w:t xml:space="preserve">Posledním rozhodnutím ve věci je pak Rozsudek Krajského soudu v Brně, </w:t>
      </w:r>
      <w:proofErr w:type="gramStart"/>
      <w:r w:rsidRPr="004009B4">
        <w:t>č.j.</w:t>
      </w:r>
      <w:proofErr w:type="gramEnd"/>
      <w:r w:rsidRPr="004009B4">
        <w:t xml:space="preserve"> 55 </w:t>
      </w:r>
      <w:proofErr w:type="spellStart"/>
      <w:r w:rsidRPr="004009B4">
        <w:t>Af</w:t>
      </w:r>
      <w:proofErr w:type="spellEnd"/>
      <w:r w:rsidRPr="004009B4">
        <w:t xml:space="preserve"> 2/2023-58 </w:t>
      </w:r>
      <w:r w:rsidRPr="004009B4">
        <w:rPr>
          <w:rFonts w:eastAsiaTheme="minorHAnsi"/>
          <w:bCs/>
          <w:lang w:eastAsia="en-US"/>
        </w:rPr>
        <w:t xml:space="preserve">o žalobě proti rozhodnutí předsedy Úřadu pro ochranu hospodářské soutěže ze dne 19.12.2022, č. j. ÚOHS-45129/2022/161, </w:t>
      </w:r>
      <w:proofErr w:type="spellStart"/>
      <w:r w:rsidRPr="004009B4">
        <w:rPr>
          <w:rFonts w:eastAsiaTheme="minorHAnsi"/>
          <w:bCs/>
          <w:lang w:eastAsia="en-US"/>
        </w:rPr>
        <w:t>sp</w:t>
      </w:r>
      <w:proofErr w:type="spellEnd"/>
      <w:r w:rsidRPr="004009B4">
        <w:rPr>
          <w:rFonts w:eastAsiaTheme="minorHAnsi"/>
          <w:bCs/>
          <w:lang w:eastAsia="en-US"/>
        </w:rPr>
        <w:t>. zn. ÚOHS-R0145/2022/VZ</w:t>
      </w:r>
      <w:r>
        <w:rPr>
          <w:rFonts w:eastAsiaTheme="minorHAnsi"/>
          <w:bCs/>
          <w:lang w:eastAsia="en-US"/>
        </w:rPr>
        <w:t>, ze dne 31.01.2025</w:t>
      </w:r>
      <w:r w:rsidRPr="004009B4">
        <w:rPr>
          <w:rFonts w:eastAsiaTheme="minorHAnsi"/>
          <w:bCs/>
          <w:lang w:eastAsia="en-US"/>
        </w:rPr>
        <w:t xml:space="preserve">. </w:t>
      </w:r>
      <w:r w:rsidRPr="004009B4">
        <w:rPr>
          <w:rFonts w:eastAsiaTheme="minorHAnsi"/>
          <w:lang w:eastAsia="en-US"/>
        </w:rPr>
        <w:t xml:space="preserve">Soud shledal námitky žalobce, tj. města Kyjova zastoupeného </w:t>
      </w:r>
      <w:r>
        <w:rPr>
          <w:rFonts w:eastAsiaTheme="minorHAnsi"/>
          <w:lang w:eastAsia="en-US"/>
        </w:rPr>
        <w:t xml:space="preserve">Mgr. Martinem Látalem z advokátní kanceláře MT </w:t>
      </w:r>
      <w:proofErr w:type="spellStart"/>
      <w:r>
        <w:rPr>
          <w:rFonts w:eastAsiaTheme="minorHAnsi"/>
          <w:lang w:eastAsia="en-US"/>
        </w:rPr>
        <w:t>Legal</w:t>
      </w:r>
      <w:proofErr w:type="spellEnd"/>
      <w:r>
        <w:rPr>
          <w:rFonts w:eastAsiaTheme="minorHAnsi"/>
          <w:lang w:eastAsia="en-US"/>
        </w:rPr>
        <w:t xml:space="preserve"> s.r.o.</w:t>
      </w:r>
      <w:r w:rsidRPr="004009B4">
        <w:rPr>
          <w:rFonts w:eastAsiaTheme="minorHAnsi"/>
          <w:lang w:eastAsia="en-US"/>
        </w:rPr>
        <w:t>, neopodstatněnými a ž</w:t>
      </w:r>
      <w:r w:rsidRPr="004009B4">
        <w:rPr>
          <w:rFonts w:eastAsiaTheme="minorHAnsi"/>
          <w:bCs/>
          <w:lang w:eastAsia="en-US"/>
        </w:rPr>
        <w:t>aloba byla zamítnuta jako nedůvodná.</w:t>
      </w:r>
      <w:r>
        <w:rPr>
          <w:rFonts w:eastAsiaTheme="minorHAnsi"/>
          <w:bCs/>
          <w:lang w:eastAsia="en-US"/>
        </w:rPr>
        <w:t xml:space="preserve"> Následně byla podána kasační stížnost k Nejvyššímu správnímu soudu v Brně, který doposud nerozhodl.</w:t>
      </w:r>
    </w:p>
    <w:p w14:paraId="6DD7D90E" w14:textId="77777777" w:rsidR="00EB497F" w:rsidRDefault="00EB497F" w:rsidP="00EB497F">
      <w:pPr>
        <w:spacing w:after="60"/>
        <w:jc w:val="both"/>
      </w:pPr>
      <w:r>
        <w:rPr>
          <w:rFonts w:eastAsiaTheme="minorHAnsi"/>
          <w:bCs/>
          <w:lang w:eastAsia="en-US"/>
        </w:rPr>
        <w:t xml:space="preserve">V rámci výstavby aquaparku bylo s vybraným dodavatelem, resp. zhotovitelem uzavřeno celkem 6 dodatků ke smlouvě o dílo, v rámci nichž došlo několikrát k úpravě ceny díla. </w:t>
      </w:r>
      <w:r>
        <w:t xml:space="preserve">Dopisem ze dne 9. 3. 2022 zhotovitel městu Kyjov oznámil, že nastala událost vyšší moci, a to válečný konflikt na Ukrajině s potenciálním vlivem na schopnost a možnosti zhotovitele plnit své povinnosti ze smlouvy. Na to navazovaly další přípisy ze dne 22. 4. 2022, 23. 9. 2022, 6. 4. 2023 a 18. 5. 2023. </w:t>
      </w:r>
    </w:p>
    <w:p w14:paraId="0CAEDA36" w14:textId="77777777" w:rsidR="00EB497F" w:rsidRDefault="00EB497F" w:rsidP="00EB497F">
      <w:pPr>
        <w:spacing w:after="60"/>
        <w:jc w:val="both"/>
      </w:pPr>
      <w:r>
        <w:t>Město reagovalo dopisem ze dne 10. 10. 2022, v němž v zájmu řádného pokračování plnění předmětu smlouvy vyjádřilo ochotu k jednání o případném zohlednění navýšení cen vstupů a navrhlo způsob zohlednění nepředpokládaného cenového vývoje. K tomuto jednání však již ze strany zhotovitele nedošlo, dodatek č. 7 uzavřen nebyl a práce na díle pokračovaly.</w:t>
      </w:r>
    </w:p>
    <w:p w14:paraId="2AF6014A" w14:textId="77777777" w:rsidR="00EB497F" w:rsidRDefault="00EB497F" w:rsidP="00EB497F">
      <w:pPr>
        <w:spacing w:after="60"/>
        <w:jc w:val="both"/>
      </w:pPr>
      <w:r>
        <w:t xml:space="preserve">V posledním dopise ze dne 18. 5. 2023, nazvaném jako </w:t>
      </w:r>
      <w:proofErr w:type="spellStart"/>
      <w:r>
        <w:t>předžalobní</w:t>
      </w:r>
      <w:proofErr w:type="spellEnd"/>
      <w:r>
        <w:t xml:space="preserve"> výzva, zhotovitel deklaroval, že pokud nedojde k odpovídajícímu navýšení ceny za předmět smlouvy, a to ve výši 21.376.321 Kč bez DPH, bude nucen stavební práce zastavit a v nejhorším případě odstoupit od uzavřené smlouvy. Rada města Kyjova dne </w:t>
      </w:r>
      <w:proofErr w:type="gramStart"/>
      <w:r>
        <w:t>13.11.2023</w:t>
      </w:r>
      <w:proofErr w:type="gramEnd"/>
      <w:r>
        <w:t xml:space="preserve"> na svém 32. jednání tuto </w:t>
      </w:r>
      <w:proofErr w:type="spellStart"/>
      <w:r>
        <w:t>předžalobní</w:t>
      </w:r>
      <w:proofErr w:type="spellEnd"/>
      <w:r>
        <w:t xml:space="preserve"> výzvu projednala a rozhodla </w:t>
      </w:r>
      <w:r w:rsidRPr="00C44B88">
        <w:rPr>
          <w:bCs/>
        </w:rPr>
        <w:t>nepřistoupit na požadavky zho</w:t>
      </w:r>
      <w:r>
        <w:rPr>
          <w:bCs/>
        </w:rPr>
        <w:t>tovitele specifikované v </w:t>
      </w:r>
      <w:proofErr w:type="spellStart"/>
      <w:r>
        <w:rPr>
          <w:bCs/>
        </w:rPr>
        <w:t>p</w:t>
      </w:r>
      <w:r w:rsidRPr="00C44B88">
        <w:rPr>
          <w:bCs/>
        </w:rPr>
        <w:t>ředžalobní</w:t>
      </w:r>
      <w:proofErr w:type="spellEnd"/>
      <w:r w:rsidRPr="00C44B88">
        <w:rPr>
          <w:bCs/>
        </w:rPr>
        <w:t xml:space="preserve"> výzvě</w:t>
      </w:r>
      <w:r>
        <w:rPr>
          <w:bCs/>
        </w:rPr>
        <w:t>.</w:t>
      </w:r>
    </w:p>
    <w:p w14:paraId="3A9C4C26" w14:textId="77777777" w:rsidR="00EB497F" w:rsidRDefault="00EB497F" w:rsidP="00EB497F">
      <w:pPr>
        <w:spacing w:after="12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Advokátní kancelář MT </w:t>
      </w:r>
      <w:proofErr w:type="spellStart"/>
      <w:r>
        <w:rPr>
          <w:rFonts w:eastAsiaTheme="minorHAnsi"/>
          <w:bCs/>
          <w:lang w:eastAsia="en-US"/>
        </w:rPr>
        <w:t>Legal</w:t>
      </w:r>
      <w:proofErr w:type="spellEnd"/>
      <w:r>
        <w:rPr>
          <w:rFonts w:eastAsiaTheme="minorHAnsi"/>
          <w:bCs/>
          <w:lang w:eastAsia="en-US"/>
        </w:rPr>
        <w:t xml:space="preserve"> s.r.o. vypracovala k </w:t>
      </w:r>
      <w:proofErr w:type="spellStart"/>
      <w:r>
        <w:rPr>
          <w:rFonts w:eastAsiaTheme="minorHAnsi"/>
          <w:bCs/>
          <w:lang w:eastAsia="en-US"/>
        </w:rPr>
        <w:t>předžalobní</w:t>
      </w:r>
      <w:proofErr w:type="spellEnd"/>
      <w:r>
        <w:rPr>
          <w:rFonts w:eastAsiaTheme="minorHAnsi"/>
          <w:bCs/>
          <w:lang w:eastAsia="en-US"/>
        </w:rPr>
        <w:t xml:space="preserve"> výzvě právní analýzu a následně i odpověď na </w:t>
      </w:r>
      <w:proofErr w:type="spellStart"/>
      <w:r>
        <w:rPr>
          <w:rFonts w:eastAsiaTheme="minorHAnsi"/>
          <w:bCs/>
          <w:lang w:eastAsia="en-US"/>
        </w:rPr>
        <w:t>předžalobní</w:t>
      </w:r>
      <w:proofErr w:type="spellEnd"/>
      <w:r>
        <w:rPr>
          <w:rFonts w:eastAsiaTheme="minorHAnsi"/>
          <w:bCs/>
          <w:lang w:eastAsia="en-US"/>
        </w:rPr>
        <w:t xml:space="preserve"> výzvu, díky čemuž byl zhotovitelem vznesený požadavek na navýšení ceny díla o 21.376.321 Kč bez DPH odmítnut. Zhotovitel následně upustil od dalšího vymáhání této částky a dílo řádně dokončil a předal.</w:t>
      </w:r>
    </w:p>
    <w:p w14:paraId="19222699" w14:textId="7FE93AE5" w:rsidR="00EB497F" w:rsidRDefault="00EB497F" w:rsidP="00EB497F">
      <w:pPr>
        <w:spacing w:after="12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S advokátní kanceláří MT </w:t>
      </w:r>
      <w:proofErr w:type="spellStart"/>
      <w:r>
        <w:rPr>
          <w:rFonts w:eastAsiaTheme="minorHAnsi"/>
          <w:bCs/>
          <w:lang w:eastAsia="en-US"/>
        </w:rPr>
        <w:t>Legal</w:t>
      </w:r>
      <w:proofErr w:type="spellEnd"/>
      <w:r>
        <w:rPr>
          <w:rFonts w:eastAsiaTheme="minorHAnsi"/>
          <w:bCs/>
          <w:lang w:eastAsia="en-US"/>
        </w:rPr>
        <w:t xml:space="preserve"> s.r.o. proběhla několikrát jednání. Při těchto jednáních byla diskutovaná možná odpovědnost advokátní kanceláře za pochybení v rámci zadávání veřejné zakázky, které vyústilo v uložení pokuty, ale také jejich úspěšná jednání, která vedla k dohodě se zhotovitelem stavby, společností Metrostav – DIZ Bazén Kyjov, stran nepožadování úhrad dodatečných nákladů, které byly vyčísleny na 21.376.321 Kč bez DPH.</w:t>
      </w:r>
    </w:p>
    <w:p w14:paraId="4E2F786C" w14:textId="77777777" w:rsidR="00EB497F" w:rsidRDefault="00EB497F" w:rsidP="00EB497F">
      <w:pPr>
        <w:spacing w:after="120"/>
        <w:jc w:val="both"/>
        <w:rPr>
          <w:rFonts w:eastAsiaTheme="minorHAnsi"/>
          <w:bCs/>
          <w:lang w:eastAsia="en-US"/>
        </w:rPr>
      </w:pPr>
      <w:r>
        <w:rPr>
          <w:rFonts w:eastAsiaTheme="minorHAnsi"/>
          <w:bCs/>
          <w:lang w:eastAsia="en-US"/>
        </w:rPr>
        <w:t xml:space="preserve">Advokátní kancelář MT </w:t>
      </w:r>
      <w:proofErr w:type="spellStart"/>
      <w:r>
        <w:rPr>
          <w:rFonts w:eastAsiaTheme="minorHAnsi"/>
          <w:bCs/>
          <w:lang w:eastAsia="en-US"/>
        </w:rPr>
        <w:t>Legal</w:t>
      </w:r>
      <w:proofErr w:type="spellEnd"/>
      <w:r>
        <w:rPr>
          <w:rFonts w:eastAsiaTheme="minorHAnsi"/>
          <w:bCs/>
          <w:lang w:eastAsia="en-US"/>
        </w:rPr>
        <w:t xml:space="preserve"> s.r.o. je přesvědčena, že není odpovědná za pochybení, které vedlo k udělení pokuty městu Kyjov, jako zadavateli veřejné zakázky, </w:t>
      </w:r>
      <w:r w:rsidRPr="00374C70">
        <w:rPr>
          <w:szCs w:val="22"/>
        </w:rPr>
        <w:t>neboť dle Smlouvy o příkazu nebyl</w:t>
      </w:r>
      <w:r>
        <w:rPr>
          <w:szCs w:val="22"/>
        </w:rPr>
        <w:t>a</w:t>
      </w:r>
      <w:r w:rsidRPr="00374C70">
        <w:rPr>
          <w:szCs w:val="22"/>
        </w:rPr>
        <w:t xml:space="preserve"> a nemůže být </w:t>
      </w:r>
      <w:r>
        <w:rPr>
          <w:szCs w:val="22"/>
        </w:rPr>
        <w:t>odpovědná</w:t>
      </w:r>
      <w:r w:rsidRPr="00374C70">
        <w:rPr>
          <w:szCs w:val="22"/>
        </w:rPr>
        <w:t xml:space="preserve"> za technické posouzení nabídek, nýbrž pouze v mezích svého výhradního oprávnění k podnikání, čímž je poskytování právních služeb, jen za právní zajištění organizačně-právní a</w:t>
      </w:r>
      <w:r>
        <w:rPr>
          <w:szCs w:val="22"/>
        </w:rPr>
        <w:t>dministrace zadávacího řízení. Dle zákona o zadávání veřejných zakázek nese za výsledek zadávacího řízení právní odpovědnost zadavatel.</w:t>
      </w:r>
    </w:p>
    <w:p w14:paraId="4C06C40A" w14:textId="77777777" w:rsidR="007F0158" w:rsidRDefault="00EB497F" w:rsidP="007F0158">
      <w:pPr>
        <w:spacing w:after="120"/>
        <w:jc w:val="both"/>
        <w:rPr>
          <w:rFonts w:eastAsiaTheme="minorHAnsi"/>
          <w:bCs/>
          <w:lang w:eastAsia="en-US"/>
        </w:rPr>
      </w:pPr>
      <w:r w:rsidRPr="00374C70">
        <w:rPr>
          <w:rFonts w:eastAsiaTheme="minorHAnsi"/>
          <w:bCs/>
          <w:lang w:eastAsia="en-US"/>
        </w:rPr>
        <w:lastRenderedPageBreak/>
        <w:t xml:space="preserve">V případě, že by došlo ke sporu mezi městem Kyjov a advokátní kanceláří MT </w:t>
      </w:r>
      <w:proofErr w:type="spellStart"/>
      <w:r w:rsidRPr="00374C70">
        <w:rPr>
          <w:rFonts w:eastAsiaTheme="minorHAnsi"/>
          <w:bCs/>
          <w:lang w:eastAsia="en-US"/>
        </w:rPr>
        <w:t>Legal</w:t>
      </w:r>
      <w:proofErr w:type="spellEnd"/>
      <w:r w:rsidRPr="00374C70">
        <w:rPr>
          <w:rFonts w:eastAsiaTheme="minorHAnsi"/>
          <w:bCs/>
          <w:lang w:eastAsia="en-US"/>
        </w:rPr>
        <w:t xml:space="preserve"> s.r.o.</w:t>
      </w:r>
      <w:r w:rsidR="006025B2">
        <w:rPr>
          <w:rFonts w:eastAsiaTheme="minorHAnsi"/>
          <w:bCs/>
          <w:lang w:eastAsia="en-US"/>
        </w:rPr>
        <w:t>, případně poradci,</w:t>
      </w:r>
      <w:r w:rsidRPr="00374C70">
        <w:rPr>
          <w:rFonts w:eastAsiaTheme="minorHAnsi"/>
          <w:bCs/>
          <w:lang w:eastAsia="en-US"/>
        </w:rPr>
        <w:t xml:space="preserve"> stran uplatnění nároku na náhradu škody, která městu Kyjov vznikla </w:t>
      </w:r>
      <w:r>
        <w:rPr>
          <w:rFonts w:eastAsiaTheme="minorHAnsi"/>
          <w:bCs/>
          <w:lang w:eastAsia="en-US"/>
        </w:rPr>
        <w:t xml:space="preserve">udělením a následným </w:t>
      </w:r>
      <w:r w:rsidRPr="00374C70">
        <w:rPr>
          <w:rFonts w:eastAsiaTheme="minorHAnsi"/>
          <w:bCs/>
          <w:lang w:eastAsia="en-US"/>
        </w:rPr>
        <w:t>uhrazením pokuty ÚO</w:t>
      </w:r>
      <w:r w:rsidR="00E1722C">
        <w:rPr>
          <w:rFonts w:eastAsiaTheme="minorHAnsi"/>
          <w:bCs/>
          <w:lang w:eastAsia="en-US"/>
        </w:rPr>
        <w:t>H</w:t>
      </w:r>
      <w:r w:rsidRPr="00374C70">
        <w:rPr>
          <w:rFonts w:eastAsiaTheme="minorHAnsi"/>
          <w:bCs/>
          <w:lang w:eastAsia="en-US"/>
        </w:rPr>
        <w:t xml:space="preserve">S, bylo by nutné prokázat, že advokátní kancelář MT </w:t>
      </w:r>
      <w:proofErr w:type="spellStart"/>
      <w:r w:rsidRPr="00374C70">
        <w:rPr>
          <w:rFonts w:eastAsiaTheme="minorHAnsi"/>
          <w:bCs/>
          <w:lang w:eastAsia="en-US"/>
        </w:rPr>
        <w:t>Legal</w:t>
      </w:r>
      <w:proofErr w:type="spellEnd"/>
      <w:r w:rsidRPr="00374C70">
        <w:rPr>
          <w:rFonts w:eastAsiaTheme="minorHAnsi"/>
          <w:bCs/>
          <w:lang w:eastAsia="en-US"/>
        </w:rPr>
        <w:t xml:space="preserve"> s.r.o. </w:t>
      </w:r>
      <w:r w:rsidR="006025B2">
        <w:rPr>
          <w:rFonts w:eastAsiaTheme="minorHAnsi"/>
          <w:bCs/>
          <w:lang w:eastAsia="en-US"/>
        </w:rPr>
        <w:t xml:space="preserve">a poradci </w:t>
      </w:r>
      <w:r w:rsidRPr="00374C70">
        <w:rPr>
          <w:rFonts w:eastAsiaTheme="minorHAnsi"/>
          <w:bCs/>
          <w:lang w:eastAsia="en-US"/>
        </w:rPr>
        <w:t xml:space="preserve">za způsobenou škodu </w:t>
      </w:r>
      <w:proofErr w:type="spellStart"/>
      <w:r w:rsidR="00241EBD">
        <w:rPr>
          <w:rFonts w:eastAsiaTheme="minorHAnsi"/>
          <w:bCs/>
          <w:lang w:eastAsia="en-US"/>
        </w:rPr>
        <w:t>nadevší</w:t>
      </w:r>
      <w:proofErr w:type="spellEnd"/>
      <w:r w:rsidR="00241EBD">
        <w:rPr>
          <w:rFonts w:eastAsiaTheme="minorHAnsi"/>
          <w:bCs/>
          <w:lang w:eastAsia="en-US"/>
        </w:rPr>
        <w:t xml:space="preserve"> pochybnost </w:t>
      </w:r>
      <w:r w:rsidRPr="00374C70">
        <w:rPr>
          <w:rFonts w:eastAsiaTheme="minorHAnsi"/>
          <w:bCs/>
          <w:lang w:eastAsia="en-US"/>
        </w:rPr>
        <w:t>skutečně odpovíd</w:t>
      </w:r>
      <w:r w:rsidR="006025B2">
        <w:rPr>
          <w:rFonts w:eastAsiaTheme="minorHAnsi"/>
          <w:bCs/>
          <w:lang w:eastAsia="en-US"/>
        </w:rPr>
        <w:t>ají</w:t>
      </w:r>
      <w:r w:rsidRPr="00374C70">
        <w:rPr>
          <w:rFonts w:eastAsiaTheme="minorHAnsi"/>
          <w:bCs/>
          <w:lang w:eastAsia="en-US"/>
        </w:rPr>
        <w:t>.</w:t>
      </w:r>
      <w:r>
        <w:rPr>
          <w:rFonts w:eastAsiaTheme="minorHAnsi"/>
          <w:bCs/>
          <w:lang w:eastAsia="en-US"/>
        </w:rPr>
        <w:t xml:space="preserve"> Zde se dostáváme do roviny čistě teoretické a</w:t>
      </w:r>
      <w:r w:rsidRPr="00374C70">
        <w:rPr>
          <w:rFonts w:eastAsiaTheme="minorHAnsi"/>
          <w:bCs/>
          <w:lang w:eastAsia="en-US"/>
        </w:rPr>
        <w:t xml:space="preserve"> </w:t>
      </w:r>
      <w:r>
        <w:rPr>
          <w:rFonts w:eastAsiaTheme="minorHAnsi"/>
          <w:bCs/>
          <w:lang w:eastAsia="en-US"/>
        </w:rPr>
        <w:t xml:space="preserve">záleželo by na právní argumentaci </w:t>
      </w:r>
      <w:r w:rsidR="00241EBD">
        <w:rPr>
          <w:rFonts w:eastAsiaTheme="minorHAnsi"/>
          <w:bCs/>
          <w:lang w:eastAsia="en-US"/>
        </w:rPr>
        <w:t xml:space="preserve">stran, procesu dokazování </w:t>
      </w:r>
      <w:r>
        <w:rPr>
          <w:rFonts w:eastAsiaTheme="minorHAnsi"/>
          <w:bCs/>
          <w:lang w:eastAsia="en-US"/>
        </w:rPr>
        <w:t xml:space="preserve">a zejména na uvážení soudu, </w:t>
      </w:r>
      <w:r>
        <w:t>jak by vymezil hranice odpovědnosti advokátní kanceláře</w:t>
      </w:r>
      <w:r w:rsidR="006025B2">
        <w:t>, případně poradců</w:t>
      </w:r>
      <w:r>
        <w:t xml:space="preserve">, přičemž </w:t>
      </w:r>
      <w:r w:rsidR="00241EBD">
        <w:t xml:space="preserve">se jeví jako </w:t>
      </w:r>
      <w:r>
        <w:t>obtížné prokáz</w:t>
      </w:r>
      <w:r w:rsidR="00241EBD">
        <w:t>ání</w:t>
      </w:r>
      <w:r>
        <w:t xml:space="preserve"> přím</w:t>
      </w:r>
      <w:r w:rsidR="00241EBD">
        <w:t>é</w:t>
      </w:r>
      <w:r>
        <w:t xml:space="preserve"> příčinn</w:t>
      </w:r>
      <w:r w:rsidR="00241EBD">
        <w:t>é</w:t>
      </w:r>
      <w:r>
        <w:t xml:space="preserve"> souvislost</w:t>
      </w:r>
      <w:r w:rsidR="00241EBD">
        <w:t>i</w:t>
      </w:r>
      <w:r>
        <w:t xml:space="preserve"> mezi jej</w:t>
      </w:r>
      <w:r w:rsidR="006025B2">
        <w:t>ich</w:t>
      </w:r>
      <w:r>
        <w:t xml:space="preserve"> činností a vznikem pokuty udělené ÚO</w:t>
      </w:r>
      <w:r w:rsidR="00E1722C">
        <w:t>H</w:t>
      </w:r>
      <w:r>
        <w:t>S</w:t>
      </w:r>
      <w:r w:rsidR="004E06C7">
        <w:t>.</w:t>
      </w:r>
      <w:r>
        <w:rPr>
          <w:rFonts w:eastAsiaTheme="minorHAnsi"/>
          <w:bCs/>
          <w:lang w:eastAsia="en-US"/>
        </w:rPr>
        <w:t xml:space="preserve"> Zcela jistě by však tento spor trval několik let a to s výsledkem zcela nejistým, kdy městu by jistě vznikly náklady na právní zastoupení</w:t>
      </w:r>
      <w:r w:rsidR="00E1722C">
        <w:rPr>
          <w:rFonts w:eastAsiaTheme="minorHAnsi"/>
          <w:bCs/>
          <w:lang w:eastAsia="en-US"/>
        </w:rPr>
        <w:t>, jež by v tomto případě bylo na místě řešit externě</w:t>
      </w:r>
      <w:r w:rsidR="00241EBD">
        <w:rPr>
          <w:rFonts w:eastAsiaTheme="minorHAnsi"/>
          <w:bCs/>
          <w:lang w:eastAsia="en-US"/>
        </w:rPr>
        <w:t xml:space="preserve"> (hodinová sazba advokáta činí cca 2.000 Kč bez DPH + další hotové výdaje) a</w:t>
      </w:r>
      <w:r>
        <w:rPr>
          <w:rFonts w:eastAsiaTheme="minorHAnsi"/>
          <w:bCs/>
          <w:lang w:eastAsia="en-US"/>
        </w:rPr>
        <w:t xml:space="preserve"> soudní poplatk</w:t>
      </w:r>
      <w:r w:rsidR="00241EBD">
        <w:rPr>
          <w:rFonts w:eastAsiaTheme="minorHAnsi"/>
          <w:bCs/>
          <w:lang w:eastAsia="en-US"/>
        </w:rPr>
        <w:t>y</w:t>
      </w:r>
      <w:r w:rsidR="00776C69">
        <w:rPr>
          <w:rFonts w:eastAsiaTheme="minorHAnsi"/>
          <w:bCs/>
          <w:lang w:eastAsia="en-US"/>
        </w:rPr>
        <w:t xml:space="preserve"> (</w:t>
      </w:r>
      <w:r w:rsidR="00A56943">
        <w:rPr>
          <w:rFonts w:eastAsiaTheme="minorHAnsi"/>
          <w:bCs/>
          <w:lang w:eastAsia="en-US"/>
        </w:rPr>
        <w:t xml:space="preserve">dle § 6 zákona č. 549/1991 Sb., o soudních poplatcích, ve znění pozdějších předpisů, se jedná o </w:t>
      </w:r>
      <w:r w:rsidR="00776C69">
        <w:rPr>
          <w:rFonts w:eastAsiaTheme="minorHAnsi"/>
          <w:bCs/>
          <w:lang w:eastAsia="en-US"/>
        </w:rPr>
        <w:t xml:space="preserve">5% z požadované částky, tj. </w:t>
      </w:r>
      <w:r w:rsidR="00A56943">
        <w:rPr>
          <w:rFonts w:eastAsiaTheme="minorHAnsi"/>
          <w:bCs/>
          <w:lang w:eastAsia="en-US"/>
        </w:rPr>
        <w:t xml:space="preserve">v našem případě </w:t>
      </w:r>
      <w:r w:rsidR="00776C69">
        <w:rPr>
          <w:rFonts w:eastAsiaTheme="minorHAnsi"/>
          <w:bCs/>
          <w:lang w:eastAsia="en-US"/>
        </w:rPr>
        <w:t>25.000 Kč, a to jak v případě podání žaloby, tak i v případě podání odvolání ve věci)</w:t>
      </w:r>
      <w:r>
        <w:rPr>
          <w:rFonts w:eastAsiaTheme="minorHAnsi"/>
          <w:bCs/>
          <w:lang w:eastAsia="en-US"/>
        </w:rPr>
        <w:t>.</w:t>
      </w:r>
      <w:r w:rsidR="00241EBD">
        <w:rPr>
          <w:rFonts w:eastAsiaTheme="minorHAnsi"/>
          <w:bCs/>
          <w:lang w:eastAsia="en-US"/>
        </w:rPr>
        <w:t xml:space="preserve"> V případě neúspěchu by poté bylo město povinno uhradit vynaložené náklady advokátní kancelář</w:t>
      </w:r>
      <w:r w:rsidR="00A56943">
        <w:rPr>
          <w:rFonts w:eastAsiaTheme="minorHAnsi"/>
          <w:bCs/>
          <w:lang w:eastAsia="en-US"/>
        </w:rPr>
        <w:t>i</w:t>
      </w:r>
      <w:r w:rsidR="006025B2">
        <w:rPr>
          <w:rFonts w:eastAsiaTheme="minorHAnsi"/>
          <w:bCs/>
          <w:lang w:eastAsia="en-US"/>
        </w:rPr>
        <w:t xml:space="preserve"> a poradcům</w:t>
      </w:r>
      <w:r w:rsidR="00241EBD">
        <w:rPr>
          <w:rFonts w:eastAsiaTheme="minorHAnsi"/>
          <w:bCs/>
          <w:lang w:eastAsia="en-US"/>
        </w:rPr>
        <w:t>, které taktéž budou nemalé. Je pravděpodobné, že by spor definitivně skončil až na nejvyšší soudní instanci.</w:t>
      </w:r>
    </w:p>
    <w:p w14:paraId="175DA18A" w14:textId="667AD62D" w:rsidR="007F0158" w:rsidRPr="007F0158" w:rsidRDefault="00EB497F" w:rsidP="007F0158">
      <w:pPr>
        <w:spacing w:after="120"/>
        <w:jc w:val="both"/>
        <w:rPr>
          <w:rFonts w:eastAsiaTheme="minorHAnsi"/>
          <w:bCs/>
          <w:lang w:eastAsia="en-US"/>
        </w:rPr>
      </w:pPr>
      <w:r w:rsidRPr="007F0158">
        <w:rPr>
          <w:rFonts w:eastAsiaTheme="minorHAnsi"/>
          <w:bCs/>
          <w:lang w:eastAsia="en-US"/>
        </w:rPr>
        <w:t xml:space="preserve">Na základě výše uvedeného a v souladu se závěry posledního jednání obdrželo město Kyjov od advokátní kanceláře MT </w:t>
      </w:r>
      <w:proofErr w:type="spellStart"/>
      <w:r w:rsidRPr="007F0158">
        <w:rPr>
          <w:rFonts w:eastAsiaTheme="minorHAnsi"/>
          <w:bCs/>
          <w:lang w:eastAsia="en-US"/>
        </w:rPr>
        <w:t>Legal</w:t>
      </w:r>
      <w:proofErr w:type="spellEnd"/>
      <w:r w:rsidRPr="007F0158">
        <w:rPr>
          <w:rFonts w:eastAsiaTheme="minorHAnsi"/>
          <w:bCs/>
          <w:lang w:eastAsia="en-US"/>
        </w:rPr>
        <w:t xml:space="preserve"> s.r.o. návrh dohody o narovnání, kde jsou shrnuty důležité body a milníky dosavadní spolupráce</w:t>
      </w:r>
      <w:r w:rsidR="00E1722C" w:rsidRPr="007F0158">
        <w:rPr>
          <w:rFonts w:eastAsiaTheme="minorHAnsi"/>
          <w:bCs/>
          <w:lang w:eastAsia="en-US"/>
        </w:rPr>
        <w:t>. J</w:t>
      </w:r>
      <w:r w:rsidRPr="007F0158">
        <w:rPr>
          <w:rFonts w:eastAsiaTheme="minorHAnsi"/>
          <w:bCs/>
          <w:lang w:eastAsia="en-US"/>
        </w:rPr>
        <w:t xml:space="preserve">ejím předmětem </w:t>
      </w:r>
      <w:r w:rsidRPr="007F0158">
        <w:t xml:space="preserve">je prohlášení stran, že město Kyjov </w:t>
      </w:r>
      <w:r w:rsidR="006025B2" w:rsidRPr="007F0158">
        <w:t>vůči</w:t>
      </w:r>
      <w:r w:rsidRPr="007F0158">
        <w:t xml:space="preserve"> společnosti MT </w:t>
      </w:r>
      <w:proofErr w:type="spellStart"/>
      <w:r w:rsidRPr="007F0158">
        <w:t>Legal</w:t>
      </w:r>
      <w:proofErr w:type="spellEnd"/>
      <w:r w:rsidRPr="007F0158">
        <w:t xml:space="preserve"> s.r.o. </w:t>
      </w:r>
      <w:r w:rsidR="006025B2" w:rsidRPr="007F0158">
        <w:t xml:space="preserve">ani poradcům </w:t>
      </w:r>
      <w:r w:rsidRPr="007F0158">
        <w:t>nebude uplatňovat případný nárok na náhradu škody spočívající v uhrazení pokuty udělené městu Kyjov Úřadem pro ochranu hospodářské soutěže ve výši 500.000 Kč a strany dohody považují veškeré závazky související přímo či nepřímo se zadávacím řízením na Modernizaci stávajícího městského koupaliště a novostavbu krytého plaveckého bazénu - Kyjov za vypořádané.</w:t>
      </w:r>
      <w:r w:rsidR="007F0158" w:rsidRPr="007F0158">
        <w:t xml:space="preserve"> Zároveň se </w:t>
      </w:r>
      <w:r w:rsidR="007F0158" w:rsidRPr="007F0158">
        <w:t xml:space="preserve">MT </w:t>
      </w:r>
      <w:proofErr w:type="spellStart"/>
      <w:r w:rsidR="007F0158" w:rsidRPr="007F0158">
        <w:t>Legal</w:t>
      </w:r>
      <w:proofErr w:type="spellEnd"/>
      <w:r w:rsidR="007F0158" w:rsidRPr="007F0158">
        <w:t xml:space="preserve"> </w:t>
      </w:r>
      <w:r w:rsidR="007F0158" w:rsidRPr="007F0158">
        <w:t>zaváže, že</w:t>
      </w:r>
      <w:r w:rsidR="007F0158" w:rsidRPr="007F0158">
        <w:t xml:space="preserve"> po dobu do 31. 12. 2026 v rámci zachování dobrých a korektních </w:t>
      </w:r>
      <w:r w:rsidR="007F0158" w:rsidRPr="007F0158">
        <w:rPr>
          <w:szCs w:val="22"/>
        </w:rPr>
        <w:t>vztahů</w:t>
      </w:r>
      <w:r w:rsidR="007F0158" w:rsidRPr="007F0158">
        <w:t xml:space="preserve"> </w:t>
      </w:r>
      <w:r w:rsidR="007F0158" w:rsidRPr="007F0158">
        <w:t>s městem Kyjov</w:t>
      </w:r>
      <w:r w:rsidR="007F0158" w:rsidRPr="007F0158">
        <w:t xml:space="preserve"> poskytn</w:t>
      </w:r>
      <w:r w:rsidR="007F0158" w:rsidRPr="007F0158">
        <w:t>e</w:t>
      </w:r>
      <w:r w:rsidR="007F0158" w:rsidRPr="007F0158">
        <w:t xml:space="preserve"> </w:t>
      </w:r>
      <w:r w:rsidR="007F0158" w:rsidRPr="007F0158">
        <w:t>městu Kyjov</w:t>
      </w:r>
      <w:r w:rsidR="007F0158" w:rsidRPr="007F0158">
        <w:t xml:space="preserve"> na vyžádání právní služby v oblasti veřejného investování za zvýhodněných podmínek.</w:t>
      </w:r>
    </w:p>
    <w:p w14:paraId="39F57532" w14:textId="592BC054" w:rsidR="00F25C25" w:rsidRPr="00321EA9" w:rsidRDefault="00F25C25" w:rsidP="00042A34">
      <w:pPr>
        <w:spacing w:after="120"/>
        <w:jc w:val="both"/>
      </w:pPr>
      <w:bookmarkStart w:id="0" w:name="_GoBack"/>
      <w:bookmarkEnd w:id="0"/>
    </w:p>
    <w:p w14:paraId="189DE405" w14:textId="77777777" w:rsidR="00211B93" w:rsidRPr="00321EA9" w:rsidRDefault="00211B93" w:rsidP="00321EA9">
      <w:pPr>
        <w:spacing w:after="120"/>
        <w:jc w:val="both"/>
        <w:rPr>
          <w:b/>
          <w:u w:val="single"/>
        </w:rPr>
      </w:pPr>
      <w:r w:rsidRPr="00321EA9">
        <w:rPr>
          <w:b/>
          <w:u w:val="single"/>
        </w:rPr>
        <w:t>Dopad na rozpočet města:</w:t>
      </w:r>
    </w:p>
    <w:p w14:paraId="7C415A05" w14:textId="77777777" w:rsidR="00211B93" w:rsidRPr="00321EA9" w:rsidRDefault="00042A34" w:rsidP="00321EA9">
      <w:pPr>
        <w:spacing w:after="120"/>
        <w:jc w:val="both"/>
      </w:pPr>
      <w:r>
        <w:t>Bez odpadu na rozpočet města.</w:t>
      </w:r>
    </w:p>
    <w:p w14:paraId="72277995" w14:textId="77777777" w:rsidR="00F25C25" w:rsidRPr="00321EA9" w:rsidRDefault="00F25C25" w:rsidP="00321EA9">
      <w:pPr>
        <w:spacing w:after="120"/>
        <w:jc w:val="both"/>
        <w:rPr>
          <w:b/>
          <w:u w:val="single"/>
        </w:rPr>
      </w:pPr>
    </w:p>
    <w:p w14:paraId="6F704E6C" w14:textId="77777777" w:rsidR="00AB1690" w:rsidRPr="00321EA9" w:rsidRDefault="00F25C25" w:rsidP="00321EA9">
      <w:pPr>
        <w:spacing w:after="120"/>
        <w:jc w:val="both"/>
        <w:rPr>
          <w:b/>
        </w:rPr>
      </w:pPr>
      <w:r w:rsidRPr="00321EA9">
        <w:rPr>
          <w:b/>
          <w:u w:val="single"/>
        </w:rPr>
        <w:t>Příloha</w:t>
      </w:r>
      <w:r w:rsidRPr="00321EA9">
        <w:rPr>
          <w:b/>
        </w:rPr>
        <w:t xml:space="preserve">: </w:t>
      </w:r>
    </w:p>
    <w:p w14:paraId="427D8AD5" w14:textId="77777777" w:rsidR="00EF7810" w:rsidRPr="00321EA9" w:rsidRDefault="00D35669" w:rsidP="00321EA9">
      <w:pPr>
        <w:spacing w:after="120"/>
        <w:jc w:val="both"/>
      </w:pPr>
      <w:r w:rsidRPr="00321EA9">
        <w:t>Příloha č. 1</w:t>
      </w:r>
      <w:r w:rsidR="00BE18E5" w:rsidRPr="00321EA9">
        <w:t xml:space="preserve"> </w:t>
      </w:r>
      <w:r w:rsidR="00321EA9" w:rsidRPr="00321EA9">
        <w:t>–</w:t>
      </w:r>
      <w:r w:rsidR="00BE18E5" w:rsidRPr="00321EA9">
        <w:t xml:space="preserve"> </w:t>
      </w:r>
      <w:r w:rsidR="00042A34">
        <w:t>Návrh dohody o narovnání</w:t>
      </w:r>
    </w:p>
    <w:sectPr w:rsidR="00EF7810" w:rsidRPr="00321EA9" w:rsidSect="00A078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oop Office">
    <w:altName w:val="Corbel"/>
    <w:charset w:val="EE"/>
    <w:family w:val="auto"/>
    <w:pitch w:val="variable"/>
    <w:sig w:usb0="00000001" w:usb1="1000004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7674"/>
    <w:multiLevelType w:val="hybridMultilevel"/>
    <w:tmpl w:val="E5D83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544DE"/>
    <w:multiLevelType w:val="hybridMultilevel"/>
    <w:tmpl w:val="E5D83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402C5"/>
    <w:multiLevelType w:val="hybridMultilevel"/>
    <w:tmpl w:val="073625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B13724"/>
    <w:multiLevelType w:val="hybridMultilevel"/>
    <w:tmpl w:val="46160A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941BA5"/>
    <w:multiLevelType w:val="hybridMultilevel"/>
    <w:tmpl w:val="9E7EE900"/>
    <w:lvl w:ilvl="0" w:tplc="0EA2B4D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A24663A"/>
    <w:multiLevelType w:val="hybridMultilevel"/>
    <w:tmpl w:val="7F8CAFFE"/>
    <w:lvl w:ilvl="0" w:tplc="CD8AC6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C3A30"/>
    <w:multiLevelType w:val="hybridMultilevel"/>
    <w:tmpl w:val="F85681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32A45"/>
    <w:multiLevelType w:val="hybridMultilevel"/>
    <w:tmpl w:val="C67E54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695B46"/>
    <w:multiLevelType w:val="hybridMultilevel"/>
    <w:tmpl w:val="55E0CBF8"/>
    <w:lvl w:ilvl="0" w:tplc="A24A913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B4392D"/>
    <w:multiLevelType w:val="singleLevel"/>
    <w:tmpl w:val="DED428F6"/>
    <w:lvl w:ilvl="0">
      <w:start w:val="1"/>
      <w:numFmt w:val="upperLetter"/>
      <w:pStyle w:val="HHsmlPreambule"/>
      <w:lvlText w:val="(%1)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F4B5D6A"/>
    <w:multiLevelType w:val="multilevel"/>
    <w:tmpl w:val="BEFA12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Segoe UI" w:hAnsi="Segoe UI" w:cs="Segoe UI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Segoe UI" w:hAnsi="Segoe UI" w:cs="Segoe UI" w:hint="default"/>
        <w:b w:val="0"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1418"/>
        </w:tabs>
        <w:ind w:left="1418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ascii="Segoe UI" w:hAnsi="Segoe UI" w:cs="Segoe UI" w:hint="default"/>
        <w:b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AF60CA8"/>
    <w:multiLevelType w:val="hybridMultilevel"/>
    <w:tmpl w:val="6256D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2"/>
  </w:num>
  <w:num w:numId="7">
    <w:abstractNumId w:val="12"/>
  </w:num>
  <w:num w:numId="8">
    <w:abstractNumId w:val="6"/>
  </w:num>
  <w:num w:numId="9">
    <w:abstractNumId w:val="3"/>
  </w:num>
  <w:num w:numId="10">
    <w:abstractNumId w:val="1"/>
  </w:num>
  <w:num w:numId="11">
    <w:abstractNumId w:val="0"/>
  </w:num>
  <w:num w:numId="12">
    <w:abstractNumId w:val="8"/>
  </w:num>
  <w:num w:numId="13">
    <w:abstractNumId w:val="5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6FE"/>
    <w:rsid w:val="000050C7"/>
    <w:rsid w:val="00005973"/>
    <w:rsid w:val="00005B46"/>
    <w:rsid w:val="00011CF5"/>
    <w:rsid w:val="0001524E"/>
    <w:rsid w:val="00015B26"/>
    <w:rsid w:val="00017A0D"/>
    <w:rsid w:val="00017A23"/>
    <w:rsid w:val="000202DA"/>
    <w:rsid w:val="00026748"/>
    <w:rsid w:val="00041D22"/>
    <w:rsid w:val="00042A34"/>
    <w:rsid w:val="0004372B"/>
    <w:rsid w:val="000508C1"/>
    <w:rsid w:val="00053E40"/>
    <w:rsid w:val="00062C40"/>
    <w:rsid w:val="00071507"/>
    <w:rsid w:val="000916FE"/>
    <w:rsid w:val="000942A2"/>
    <w:rsid w:val="0009643E"/>
    <w:rsid w:val="00097218"/>
    <w:rsid w:val="000A28B7"/>
    <w:rsid w:val="000A671F"/>
    <w:rsid w:val="000B7013"/>
    <w:rsid w:val="000C4219"/>
    <w:rsid w:val="000C4519"/>
    <w:rsid w:val="000E056D"/>
    <w:rsid w:val="000F4D57"/>
    <w:rsid w:val="001150F5"/>
    <w:rsid w:val="00121509"/>
    <w:rsid w:val="0012628A"/>
    <w:rsid w:val="001369B8"/>
    <w:rsid w:val="001460A6"/>
    <w:rsid w:val="00151050"/>
    <w:rsid w:val="00151B5C"/>
    <w:rsid w:val="00162E7A"/>
    <w:rsid w:val="00183F69"/>
    <w:rsid w:val="0019549E"/>
    <w:rsid w:val="001962A2"/>
    <w:rsid w:val="001A44E4"/>
    <w:rsid w:val="001B2C19"/>
    <w:rsid w:val="001B5734"/>
    <w:rsid w:val="001C5B12"/>
    <w:rsid w:val="001D14AE"/>
    <w:rsid w:val="001E06FE"/>
    <w:rsid w:val="001F419D"/>
    <w:rsid w:val="00211B93"/>
    <w:rsid w:val="002152D9"/>
    <w:rsid w:val="0022060F"/>
    <w:rsid w:val="0022257D"/>
    <w:rsid w:val="00237218"/>
    <w:rsid w:val="00241EBD"/>
    <w:rsid w:val="0025430B"/>
    <w:rsid w:val="00256A00"/>
    <w:rsid w:val="00273FB7"/>
    <w:rsid w:val="00275403"/>
    <w:rsid w:val="00297EBD"/>
    <w:rsid w:val="002B308A"/>
    <w:rsid w:val="002C12D4"/>
    <w:rsid w:val="002C1B73"/>
    <w:rsid w:val="002C4D1C"/>
    <w:rsid w:val="002C4F90"/>
    <w:rsid w:val="002C7E32"/>
    <w:rsid w:val="002D069B"/>
    <w:rsid w:val="002D589A"/>
    <w:rsid w:val="002E2955"/>
    <w:rsid w:val="002E4F85"/>
    <w:rsid w:val="002E52AC"/>
    <w:rsid w:val="003001F5"/>
    <w:rsid w:val="00301B4B"/>
    <w:rsid w:val="00321EA9"/>
    <w:rsid w:val="00325E1E"/>
    <w:rsid w:val="00341E30"/>
    <w:rsid w:val="003429F2"/>
    <w:rsid w:val="00345532"/>
    <w:rsid w:val="0035703E"/>
    <w:rsid w:val="00361A2F"/>
    <w:rsid w:val="00374C70"/>
    <w:rsid w:val="00396923"/>
    <w:rsid w:val="00396D79"/>
    <w:rsid w:val="003A41CB"/>
    <w:rsid w:val="003B472C"/>
    <w:rsid w:val="003C559D"/>
    <w:rsid w:val="003D2326"/>
    <w:rsid w:val="003E2F74"/>
    <w:rsid w:val="003E39C1"/>
    <w:rsid w:val="003E52C4"/>
    <w:rsid w:val="003E5B37"/>
    <w:rsid w:val="004018F0"/>
    <w:rsid w:val="00402826"/>
    <w:rsid w:val="00402B6B"/>
    <w:rsid w:val="0042134B"/>
    <w:rsid w:val="004238EA"/>
    <w:rsid w:val="004475F8"/>
    <w:rsid w:val="00454EFE"/>
    <w:rsid w:val="00486E92"/>
    <w:rsid w:val="004B4C77"/>
    <w:rsid w:val="004C4CD2"/>
    <w:rsid w:val="004D6B1E"/>
    <w:rsid w:val="004E06C7"/>
    <w:rsid w:val="005048CA"/>
    <w:rsid w:val="005369C1"/>
    <w:rsid w:val="005425C8"/>
    <w:rsid w:val="00575DCE"/>
    <w:rsid w:val="005776DC"/>
    <w:rsid w:val="0059497A"/>
    <w:rsid w:val="005A071C"/>
    <w:rsid w:val="005A119F"/>
    <w:rsid w:val="005E23DA"/>
    <w:rsid w:val="005F6B20"/>
    <w:rsid w:val="006025B2"/>
    <w:rsid w:val="00636CFA"/>
    <w:rsid w:val="00637882"/>
    <w:rsid w:val="0064181E"/>
    <w:rsid w:val="006514E2"/>
    <w:rsid w:val="00667960"/>
    <w:rsid w:val="00692A39"/>
    <w:rsid w:val="0069581E"/>
    <w:rsid w:val="006A6086"/>
    <w:rsid w:val="006C42D0"/>
    <w:rsid w:val="006F0588"/>
    <w:rsid w:val="006F59F1"/>
    <w:rsid w:val="0070160F"/>
    <w:rsid w:val="0071184D"/>
    <w:rsid w:val="0071538A"/>
    <w:rsid w:val="007178B4"/>
    <w:rsid w:val="00720E6B"/>
    <w:rsid w:val="00721129"/>
    <w:rsid w:val="007338EC"/>
    <w:rsid w:val="00745C98"/>
    <w:rsid w:val="007662F3"/>
    <w:rsid w:val="00776C69"/>
    <w:rsid w:val="00785CAA"/>
    <w:rsid w:val="007A0EE6"/>
    <w:rsid w:val="007C0065"/>
    <w:rsid w:val="007C6B07"/>
    <w:rsid w:val="007E1C86"/>
    <w:rsid w:val="007E481A"/>
    <w:rsid w:val="007E79D7"/>
    <w:rsid w:val="007F0158"/>
    <w:rsid w:val="007F088B"/>
    <w:rsid w:val="007F18FF"/>
    <w:rsid w:val="008066B9"/>
    <w:rsid w:val="00816820"/>
    <w:rsid w:val="00822697"/>
    <w:rsid w:val="00823189"/>
    <w:rsid w:val="00831E6A"/>
    <w:rsid w:val="008407E0"/>
    <w:rsid w:val="008437FE"/>
    <w:rsid w:val="00846D7F"/>
    <w:rsid w:val="00860147"/>
    <w:rsid w:val="0087742A"/>
    <w:rsid w:val="00884F81"/>
    <w:rsid w:val="00887BA5"/>
    <w:rsid w:val="0089398B"/>
    <w:rsid w:val="008D5FDB"/>
    <w:rsid w:val="008E061B"/>
    <w:rsid w:val="008E7CAF"/>
    <w:rsid w:val="008F3DE6"/>
    <w:rsid w:val="009149B8"/>
    <w:rsid w:val="00922824"/>
    <w:rsid w:val="00940073"/>
    <w:rsid w:val="0094328A"/>
    <w:rsid w:val="00951E53"/>
    <w:rsid w:val="00952A82"/>
    <w:rsid w:val="00961224"/>
    <w:rsid w:val="00966ED1"/>
    <w:rsid w:val="00972B97"/>
    <w:rsid w:val="009839F1"/>
    <w:rsid w:val="00994E5C"/>
    <w:rsid w:val="009B0752"/>
    <w:rsid w:val="009C25E1"/>
    <w:rsid w:val="009D1D70"/>
    <w:rsid w:val="009E1D1B"/>
    <w:rsid w:val="009E542E"/>
    <w:rsid w:val="009E5DC4"/>
    <w:rsid w:val="00A078E5"/>
    <w:rsid w:val="00A2019D"/>
    <w:rsid w:val="00A20275"/>
    <w:rsid w:val="00A45D0F"/>
    <w:rsid w:val="00A56943"/>
    <w:rsid w:val="00A5770D"/>
    <w:rsid w:val="00A7362F"/>
    <w:rsid w:val="00A96647"/>
    <w:rsid w:val="00AA6B95"/>
    <w:rsid w:val="00AA6F54"/>
    <w:rsid w:val="00AB1690"/>
    <w:rsid w:val="00AB6C8E"/>
    <w:rsid w:val="00AE745D"/>
    <w:rsid w:val="00AF66FB"/>
    <w:rsid w:val="00B07757"/>
    <w:rsid w:val="00B163F6"/>
    <w:rsid w:val="00B176F5"/>
    <w:rsid w:val="00B20741"/>
    <w:rsid w:val="00B32065"/>
    <w:rsid w:val="00B400AD"/>
    <w:rsid w:val="00B7695B"/>
    <w:rsid w:val="00B86C81"/>
    <w:rsid w:val="00B929CD"/>
    <w:rsid w:val="00B97E06"/>
    <w:rsid w:val="00BA7D00"/>
    <w:rsid w:val="00BC363E"/>
    <w:rsid w:val="00BD04A5"/>
    <w:rsid w:val="00BD698A"/>
    <w:rsid w:val="00BE18E5"/>
    <w:rsid w:val="00C06178"/>
    <w:rsid w:val="00C201B9"/>
    <w:rsid w:val="00C24157"/>
    <w:rsid w:val="00C37B64"/>
    <w:rsid w:val="00C60318"/>
    <w:rsid w:val="00C64861"/>
    <w:rsid w:val="00C6715C"/>
    <w:rsid w:val="00C7577D"/>
    <w:rsid w:val="00C765C4"/>
    <w:rsid w:val="00C937E5"/>
    <w:rsid w:val="00C9435D"/>
    <w:rsid w:val="00C9784B"/>
    <w:rsid w:val="00CA2E61"/>
    <w:rsid w:val="00CC4E12"/>
    <w:rsid w:val="00CD588A"/>
    <w:rsid w:val="00CD74C3"/>
    <w:rsid w:val="00D020DE"/>
    <w:rsid w:val="00D06803"/>
    <w:rsid w:val="00D11A39"/>
    <w:rsid w:val="00D12EE5"/>
    <w:rsid w:val="00D27C1B"/>
    <w:rsid w:val="00D30F1D"/>
    <w:rsid w:val="00D35669"/>
    <w:rsid w:val="00D359F6"/>
    <w:rsid w:val="00D43303"/>
    <w:rsid w:val="00D84421"/>
    <w:rsid w:val="00D94E4E"/>
    <w:rsid w:val="00DB1B97"/>
    <w:rsid w:val="00DC6623"/>
    <w:rsid w:val="00DD4118"/>
    <w:rsid w:val="00DD6358"/>
    <w:rsid w:val="00DE3D3E"/>
    <w:rsid w:val="00DF1B9D"/>
    <w:rsid w:val="00DF369E"/>
    <w:rsid w:val="00DF5DAF"/>
    <w:rsid w:val="00E115DD"/>
    <w:rsid w:val="00E1722C"/>
    <w:rsid w:val="00E242AA"/>
    <w:rsid w:val="00E35A3F"/>
    <w:rsid w:val="00E47525"/>
    <w:rsid w:val="00E5321C"/>
    <w:rsid w:val="00E66386"/>
    <w:rsid w:val="00E730F9"/>
    <w:rsid w:val="00E7330A"/>
    <w:rsid w:val="00E9379E"/>
    <w:rsid w:val="00EB2231"/>
    <w:rsid w:val="00EB497F"/>
    <w:rsid w:val="00EC583C"/>
    <w:rsid w:val="00EC7315"/>
    <w:rsid w:val="00ED1ACF"/>
    <w:rsid w:val="00EE4FCD"/>
    <w:rsid w:val="00EE6590"/>
    <w:rsid w:val="00EF1636"/>
    <w:rsid w:val="00EF62F1"/>
    <w:rsid w:val="00EF7810"/>
    <w:rsid w:val="00F00987"/>
    <w:rsid w:val="00F06885"/>
    <w:rsid w:val="00F12F2C"/>
    <w:rsid w:val="00F1646B"/>
    <w:rsid w:val="00F25C25"/>
    <w:rsid w:val="00F2621D"/>
    <w:rsid w:val="00F47458"/>
    <w:rsid w:val="00F82C67"/>
    <w:rsid w:val="00F8687E"/>
    <w:rsid w:val="00F92113"/>
    <w:rsid w:val="00FB5258"/>
    <w:rsid w:val="00FB78E5"/>
    <w:rsid w:val="00FC6534"/>
    <w:rsid w:val="00FD7DBC"/>
    <w:rsid w:val="00FE588F"/>
    <w:rsid w:val="00FF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535599"/>
  <w15:chartTrackingRefBased/>
  <w15:docId w15:val="{E1E0CAB7-BF05-4226-9CD2-6881F0F5B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08C1"/>
    <w:rPr>
      <w:sz w:val="24"/>
      <w:szCs w:val="24"/>
    </w:rPr>
  </w:style>
  <w:style w:type="paragraph" w:styleId="Nadpis1">
    <w:name w:val="heading 1"/>
    <w:basedOn w:val="Normln"/>
    <w:next w:val="Normln"/>
    <w:qFormat/>
    <w:rsid w:val="000508C1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F015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0508C1"/>
    <w:pPr>
      <w:spacing w:before="120"/>
      <w:jc w:val="both"/>
    </w:pPr>
    <w:rPr>
      <w:color w:val="0000FF"/>
      <w:szCs w:val="20"/>
    </w:rPr>
  </w:style>
  <w:style w:type="paragraph" w:styleId="Textbubliny">
    <w:name w:val="Balloon Text"/>
    <w:basedOn w:val="Normln"/>
    <w:semiHidden/>
    <w:rsid w:val="003001F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unhideWhenUsed/>
    <w:rsid w:val="007C006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7C0065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C0065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basedOn w:val="Normln"/>
    <w:rsid w:val="007C0065"/>
    <w:pPr>
      <w:autoSpaceDE w:val="0"/>
      <w:autoSpaceDN w:val="0"/>
    </w:pPr>
    <w:rPr>
      <w:rFonts w:ascii="Koop Office" w:eastAsia="Calibri" w:hAnsi="Koop Office"/>
      <w:color w:val="000000"/>
    </w:rPr>
  </w:style>
  <w:style w:type="character" w:customStyle="1" w:styleId="Zvraznn">
    <w:name w:val="Zvýraznění"/>
    <w:qFormat/>
    <w:rsid w:val="005E23DA"/>
    <w:rPr>
      <w:i/>
      <w:iCs/>
    </w:rPr>
  </w:style>
  <w:style w:type="paragraph" w:customStyle="1" w:styleId="Textodstavce">
    <w:name w:val="Text odstavce"/>
    <w:basedOn w:val="Normln"/>
    <w:rsid w:val="0094328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4328A"/>
    <w:pPr>
      <w:numPr>
        <w:ilvl w:val="2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4328A"/>
    <w:pPr>
      <w:numPr>
        <w:ilvl w:val="1"/>
        <w:numId w:val="2"/>
      </w:numPr>
      <w:jc w:val="both"/>
      <w:outlineLvl w:val="7"/>
    </w:pPr>
    <w:rPr>
      <w:szCs w:val="20"/>
    </w:rPr>
  </w:style>
  <w:style w:type="paragraph" w:customStyle="1" w:styleId="Textlnku">
    <w:name w:val="Text článku"/>
    <w:basedOn w:val="Normln"/>
    <w:rsid w:val="0094328A"/>
    <w:pPr>
      <w:spacing w:before="240"/>
      <w:ind w:firstLine="425"/>
      <w:jc w:val="both"/>
      <w:outlineLvl w:val="5"/>
    </w:pPr>
    <w:rPr>
      <w:szCs w:val="20"/>
    </w:rPr>
  </w:style>
  <w:style w:type="character" w:customStyle="1" w:styleId="nowrap">
    <w:name w:val="nowrap"/>
    <w:basedOn w:val="Standardnpsmoodstavce"/>
    <w:rsid w:val="00454EFE"/>
  </w:style>
  <w:style w:type="paragraph" w:customStyle="1" w:styleId="Standard">
    <w:name w:val="Standard"/>
    <w:rsid w:val="00D35669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paragraph" w:customStyle="1" w:styleId="HHsmlPreambule">
    <w:name w:val="HH_sml_Preambule"/>
    <w:basedOn w:val="Normln"/>
    <w:rsid w:val="00374C70"/>
    <w:pPr>
      <w:numPr>
        <w:numId w:val="14"/>
      </w:numPr>
      <w:spacing w:before="120" w:after="120"/>
      <w:jc w:val="both"/>
    </w:pPr>
    <w:rPr>
      <w:sz w:val="22"/>
      <w:szCs w:val="20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241E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1EB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1EBD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1EB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1EBD"/>
    <w:rPr>
      <w:b/>
      <w:bCs/>
    </w:rPr>
  </w:style>
  <w:style w:type="paragraph" w:customStyle="1" w:styleId="Clanek11">
    <w:name w:val="Clanek 1.1"/>
    <w:basedOn w:val="Nadpis2"/>
    <w:qFormat/>
    <w:rsid w:val="007F0158"/>
    <w:pPr>
      <w:keepNext w:val="0"/>
      <w:keepLines w:val="0"/>
      <w:widowControl w:val="0"/>
      <w:numPr>
        <w:ilvl w:val="1"/>
        <w:numId w:val="15"/>
      </w:numPr>
      <w:tabs>
        <w:tab w:val="clear" w:pos="567"/>
        <w:tab w:val="num" w:pos="360"/>
      </w:tabs>
      <w:spacing w:before="120" w:after="120"/>
      <w:ind w:left="0" w:firstLine="0"/>
      <w:jc w:val="both"/>
    </w:pPr>
    <w:rPr>
      <w:rFonts w:ascii="Times New Roman" w:eastAsia="Times New Roman" w:hAnsi="Times New Roman" w:cs="Arial"/>
      <w:bCs/>
      <w:iCs/>
      <w:color w:val="auto"/>
      <w:sz w:val="22"/>
      <w:szCs w:val="28"/>
      <w:lang w:eastAsia="en-US"/>
    </w:rPr>
  </w:style>
  <w:style w:type="paragraph" w:customStyle="1" w:styleId="Claneka">
    <w:name w:val="Clanek (a)"/>
    <w:basedOn w:val="Normln"/>
    <w:qFormat/>
    <w:rsid w:val="007F0158"/>
    <w:pPr>
      <w:keepLines/>
      <w:widowControl w:val="0"/>
      <w:numPr>
        <w:ilvl w:val="2"/>
        <w:numId w:val="15"/>
      </w:numPr>
      <w:spacing w:before="120" w:after="120"/>
      <w:jc w:val="both"/>
    </w:pPr>
    <w:rPr>
      <w:sz w:val="22"/>
      <w:lang w:eastAsia="en-US"/>
    </w:rPr>
  </w:style>
  <w:style w:type="paragraph" w:customStyle="1" w:styleId="Claneki">
    <w:name w:val="Clanek (i)"/>
    <w:basedOn w:val="Normln"/>
    <w:qFormat/>
    <w:rsid w:val="007F0158"/>
    <w:pPr>
      <w:keepNext/>
      <w:numPr>
        <w:ilvl w:val="3"/>
        <w:numId w:val="15"/>
      </w:numPr>
      <w:spacing w:before="120" w:after="120"/>
      <w:jc w:val="both"/>
    </w:pPr>
    <w:rPr>
      <w:color w:val="000000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F015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9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0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00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00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3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1151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9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04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14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01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78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1416</Words>
  <Characters>8229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77/8 – 16</vt:lpstr>
    </vt:vector>
  </TitlesOfParts>
  <Company/>
  <LinksUpToDate>false</LinksUpToDate>
  <CharactersWithSpaces>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77/8 – 16</dc:title>
  <dc:subject/>
  <dc:creator>so_ar</dc:creator>
  <cp:keywords/>
  <dc:description/>
  <cp:lastModifiedBy>Eva Fialíková</cp:lastModifiedBy>
  <cp:revision>11</cp:revision>
  <cp:lastPrinted>2025-11-28T07:31:00Z</cp:lastPrinted>
  <dcterms:created xsi:type="dcterms:W3CDTF">2025-11-21T08:55:00Z</dcterms:created>
  <dcterms:modified xsi:type="dcterms:W3CDTF">2025-11-28T07:40:00Z</dcterms:modified>
</cp:coreProperties>
</file>